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3747CE" w:rsidRPr="003747CE" w:rsidTr="003747CE">
        <w:trPr>
          <w:tblCellSpacing w:w="15" w:type="dxa"/>
        </w:trPr>
        <w:tc>
          <w:tcPr>
            <w:tcW w:w="5000" w:type="pct"/>
            <w:shd w:val="clear" w:color="auto" w:fill="FFFFFF"/>
            <w:noWrap/>
            <w:vAlign w:val="center"/>
            <w:hideMark/>
          </w:tcPr>
          <w:p w:rsidR="003747CE" w:rsidRPr="003747CE" w:rsidRDefault="003747CE" w:rsidP="003747CE">
            <w:pPr>
              <w:spacing w:after="75" w:line="240" w:lineRule="atLeast"/>
              <w:rPr>
                <w:rFonts w:ascii="Arial" w:eastAsia="Times New Roman" w:hAnsi="Arial" w:cs="Arial"/>
                <w:b/>
                <w:bCs/>
                <w:color w:val="1A4A88"/>
                <w:sz w:val="24"/>
                <w:szCs w:val="24"/>
                <w:lang w:eastAsia="tr-TR"/>
              </w:rPr>
            </w:pPr>
            <w:proofErr w:type="gramStart"/>
            <w:r>
              <w:rPr>
                <w:rFonts w:ascii="Arial" w:eastAsia="Times New Roman" w:hAnsi="Arial" w:cs="Arial"/>
                <w:b/>
                <w:bCs/>
                <w:color w:val="1A4A88"/>
                <w:sz w:val="24"/>
                <w:szCs w:val="24"/>
                <w:lang w:eastAsia="tr-TR"/>
              </w:rPr>
              <w:t xml:space="preserve">349    </w:t>
            </w:r>
            <w:r w:rsidRPr="003747CE">
              <w:rPr>
                <w:rFonts w:ascii="Arial" w:eastAsia="Times New Roman" w:hAnsi="Arial" w:cs="Arial"/>
                <w:b/>
                <w:bCs/>
                <w:color w:val="1A4A88"/>
                <w:sz w:val="24"/>
                <w:szCs w:val="24"/>
                <w:lang w:eastAsia="tr-TR"/>
              </w:rPr>
              <w:t>TÜİK</w:t>
            </w:r>
            <w:proofErr w:type="gramEnd"/>
            <w:r w:rsidRPr="003747CE">
              <w:rPr>
                <w:rFonts w:ascii="Arial" w:eastAsia="Times New Roman" w:hAnsi="Arial" w:cs="Arial"/>
                <w:b/>
                <w:bCs/>
                <w:color w:val="1A4A88"/>
                <w:sz w:val="24"/>
                <w:szCs w:val="24"/>
                <w:lang w:eastAsia="tr-TR"/>
              </w:rPr>
              <w:t xml:space="preserve"> Yaygın Eğitim Faaliyetleri Araştırması</w:t>
            </w:r>
          </w:p>
        </w:tc>
        <w:tc>
          <w:tcPr>
            <w:tcW w:w="5000" w:type="pct"/>
            <w:shd w:val="clear" w:color="auto" w:fill="FFFFFF"/>
            <w:vAlign w:val="center"/>
            <w:hideMark/>
          </w:tcPr>
          <w:p w:rsidR="003747CE" w:rsidRPr="003747CE" w:rsidRDefault="003747CE" w:rsidP="003747CE">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3747CE" w:rsidRPr="003747CE" w:rsidRDefault="003747CE" w:rsidP="003747CE">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3747CE" w:rsidRPr="003747CE" w:rsidRDefault="003747CE" w:rsidP="003747CE">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3747CE" w:rsidRPr="003747CE" w:rsidTr="003747CE">
        <w:trPr>
          <w:tblCellSpacing w:w="15" w:type="dxa"/>
        </w:trPr>
        <w:tc>
          <w:tcPr>
            <w:tcW w:w="0" w:type="auto"/>
            <w:shd w:val="clear" w:color="auto" w:fill="FFFFFF"/>
            <w:hideMark/>
          </w:tcPr>
          <w:p w:rsidR="003747CE" w:rsidRPr="003747CE" w:rsidRDefault="003747CE" w:rsidP="003747CE">
            <w:pPr>
              <w:spacing w:after="0" w:line="240" w:lineRule="atLeast"/>
              <w:rPr>
                <w:rFonts w:ascii="Arial" w:eastAsia="Times New Roman" w:hAnsi="Arial" w:cs="Arial"/>
                <w:color w:val="666666"/>
                <w:sz w:val="18"/>
                <w:szCs w:val="18"/>
                <w:lang w:eastAsia="tr-TR"/>
              </w:rPr>
            </w:pPr>
            <w:proofErr w:type="gramStart"/>
            <w:r w:rsidRPr="003747CE">
              <w:rPr>
                <w:rFonts w:ascii="Arial" w:eastAsia="Times New Roman" w:hAnsi="Arial" w:cs="Arial"/>
                <w:color w:val="666666"/>
                <w:sz w:val="18"/>
                <w:szCs w:val="18"/>
                <w:lang w:eastAsia="tr-TR"/>
              </w:rPr>
              <w:t>Sayı     : 2010</w:t>
            </w:r>
            <w:proofErr w:type="gramEnd"/>
            <w:r w:rsidRPr="003747CE">
              <w:rPr>
                <w:rFonts w:ascii="Arial" w:eastAsia="Times New Roman" w:hAnsi="Arial" w:cs="Arial"/>
                <w:color w:val="666666"/>
                <w:sz w:val="18"/>
                <w:szCs w:val="18"/>
                <w:lang w:eastAsia="tr-TR"/>
              </w:rPr>
              <w:t xml:space="preserve"> / 349</w:t>
            </w:r>
          </w:p>
          <w:p w:rsidR="003747CE" w:rsidRPr="003747CE" w:rsidRDefault="003747CE" w:rsidP="003747CE">
            <w:pPr>
              <w:spacing w:before="100" w:beforeAutospacing="1" w:after="100" w:afterAutospacing="1" w:line="240" w:lineRule="atLeast"/>
              <w:rPr>
                <w:rFonts w:ascii="Arial" w:eastAsia="Times New Roman" w:hAnsi="Arial" w:cs="Arial"/>
                <w:color w:val="666666"/>
                <w:sz w:val="18"/>
                <w:szCs w:val="18"/>
                <w:lang w:eastAsia="tr-TR"/>
              </w:rPr>
            </w:pPr>
            <w:proofErr w:type="gramStart"/>
            <w:r w:rsidRPr="003747CE">
              <w:rPr>
                <w:rFonts w:ascii="Arial" w:eastAsia="Times New Roman" w:hAnsi="Arial" w:cs="Arial"/>
                <w:color w:val="666666"/>
                <w:sz w:val="18"/>
                <w:szCs w:val="18"/>
                <w:lang w:eastAsia="tr-TR"/>
              </w:rPr>
              <w:t xml:space="preserve">İLGİ   : </w:t>
            </w:r>
            <w:proofErr w:type="spellStart"/>
            <w:r w:rsidRPr="003747CE">
              <w:rPr>
                <w:rFonts w:ascii="Arial" w:eastAsia="Times New Roman" w:hAnsi="Arial" w:cs="Arial"/>
                <w:color w:val="666666"/>
                <w:sz w:val="18"/>
                <w:szCs w:val="18"/>
                <w:lang w:eastAsia="tr-TR"/>
              </w:rPr>
              <w:t>TESK’in</w:t>
            </w:r>
            <w:proofErr w:type="spellEnd"/>
            <w:proofErr w:type="gramEnd"/>
            <w:r w:rsidRPr="003747CE">
              <w:rPr>
                <w:rFonts w:ascii="Arial" w:eastAsia="Times New Roman" w:hAnsi="Arial" w:cs="Arial"/>
                <w:color w:val="666666"/>
                <w:sz w:val="18"/>
                <w:szCs w:val="18"/>
                <w:lang w:eastAsia="tr-TR"/>
              </w:rPr>
              <w:t xml:space="preserve"> 29.01.2010 tarih, 0306 sayı, 09 no.lu genelgesi </w:t>
            </w:r>
          </w:p>
          <w:p w:rsidR="003747CE" w:rsidRPr="003747CE" w:rsidRDefault="003747CE" w:rsidP="003747CE">
            <w:pPr>
              <w:spacing w:before="100" w:beforeAutospacing="1" w:after="100" w:afterAutospacing="1" w:line="240" w:lineRule="atLeast"/>
              <w:jc w:val="both"/>
              <w:rPr>
                <w:rFonts w:ascii="Arial" w:eastAsia="Times New Roman" w:hAnsi="Arial" w:cs="Arial"/>
                <w:color w:val="666666"/>
                <w:sz w:val="18"/>
                <w:szCs w:val="18"/>
                <w:lang w:eastAsia="tr-TR"/>
              </w:rPr>
            </w:pPr>
            <w:r w:rsidRPr="003747CE">
              <w:rPr>
                <w:rFonts w:ascii="Arial" w:eastAsia="Times New Roman" w:hAnsi="Arial" w:cs="Arial"/>
                <w:color w:val="666666"/>
                <w:sz w:val="18"/>
                <w:szCs w:val="18"/>
                <w:lang w:eastAsia="tr-TR"/>
              </w:rPr>
              <w:t xml:space="preserve">Bilindiği üzere yaygın eğitim, örgün eğitim faaliyeti niteliğinde olmayan, organize ve sürekliliği olan, yaş sınırlaması ve kademeli eğitim zorunluluğu olmayan, eğitim kurumları dışında da verilebilen ve ayrıca işyerlerinde düzenlenen mesleki eğitim kurslarını,  hizmet içi eğitimleri, seminerleri </w:t>
            </w:r>
            <w:proofErr w:type="spellStart"/>
            <w:r w:rsidRPr="003747CE">
              <w:rPr>
                <w:rFonts w:ascii="Arial" w:eastAsia="Times New Roman" w:hAnsi="Arial" w:cs="Arial"/>
                <w:color w:val="666666"/>
                <w:sz w:val="18"/>
                <w:szCs w:val="18"/>
                <w:lang w:eastAsia="tr-TR"/>
              </w:rPr>
              <w:t>v.b</w:t>
            </w:r>
            <w:proofErr w:type="spellEnd"/>
            <w:r w:rsidRPr="003747CE">
              <w:rPr>
                <w:rFonts w:ascii="Arial" w:eastAsia="Times New Roman" w:hAnsi="Arial" w:cs="Arial"/>
                <w:color w:val="666666"/>
                <w:sz w:val="18"/>
                <w:szCs w:val="18"/>
                <w:lang w:eastAsia="tr-TR"/>
              </w:rPr>
              <w:t xml:space="preserve"> eğitim niteliği taşıyan faaliyetleri de  kapsayan </w:t>
            </w:r>
            <w:proofErr w:type="spellStart"/>
            <w:r w:rsidRPr="003747CE">
              <w:rPr>
                <w:rFonts w:ascii="Arial" w:eastAsia="Times New Roman" w:hAnsi="Arial" w:cs="Arial"/>
                <w:color w:val="666666"/>
                <w:sz w:val="18"/>
                <w:szCs w:val="18"/>
                <w:lang w:eastAsia="tr-TR"/>
              </w:rPr>
              <w:t>non-formal</w:t>
            </w:r>
            <w:proofErr w:type="spellEnd"/>
            <w:r w:rsidRPr="003747CE">
              <w:rPr>
                <w:rFonts w:ascii="Arial" w:eastAsia="Times New Roman" w:hAnsi="Arial" w:cs="Arial"/>
                <w:color w:val="666666"/>
                <w:sz w:val="18"/>
                <w:szCs w:val="18"/>
                <w:lang w:eastAsia="tr-TR"/>
              </w:rPr>
              <w:t xml:space="preserve"> eğitim şeklidir.       </w:t>
            </w:r>
          </w:p>
          <w:p w:rsidR="003747CE" w:rsidRPr="003747CE" w:rsidRDefault="003747CE" w:rsidP="003747CE">
            <w:pPr>
              <w:spacing w:after="0" w:line="240" w:lineRule="atLeast"/>
              <w:jc w:val="both"/>
              <w:rPr>
                <w:rFonts w:ascii="Arial" w:eastAsia="Times New Roman" w:hAnsi="Arial" w:cs="Arial"/>
                <w:color w:val="666666"/>
                <w:sz w:val="18"/>
                <w:szCs w:val="18"/>
                <w:lang w:eastAsia="tr-TR"/>
              </w:rPr>
            </w:pPr>
            <w:r w:rsidRPr="003747CE">
              <w:rPr>
                <w:rFonts w:ascii="Arial" w:eastAsia="Times New Roman" w:hAnsi="Arial" w:cs="Arial"/>
                <w:color w:val="666666"/>
                <w:sz w:val="18"/>
                <w:szCs w:val="18"/>
                <w:lang w:eastAsia="tr-TR"/>
              </w:rPr>
              <w:t>Ülkemizde örgün ve yaygın eğitim istatistik</w:t>
            </w:r>
            <w:bookmarkStart w:id="0" w:name="_GoBack"/>
            <w:bookmarkEnd w:id="0"/>
            <w:r w:rsidRPr="003747CE">
              <w:rPr>
                <w:rFonts w:ascii="Arial" w:eastAsia="Times New Roman" w:hAnsi="Arial" w:cs="Arial"/>
                <w:color w:val="666666"/>
                <w:sz w:val="18"/>
                <w:szCs w:val="18"/>
                <w:lang w:eastAsia="tr-TR"/>
              </w:rPr>
              <w:t>leri, Milli Eğitim Bakanlığının (MEB) idari kayıtlarından  elde edilmekte olup,  yaygın eğitim istatistikleri oluşturulurken sivil toplum örgütleri, belediyeler, kamu kurum ve kuruluşları ile üniversitelerin yapmış oldukları yaygın eğitim faaliyetleri şimdiye kadar dikkate alınamamıştır.</w:t>
            </w:r>
          </w:p>
          <w:p w:rsidR="003747CE" w:rsidRPr="003747CE" w:rsidRDefault="003747CE" w:rsidP="003747CE">
            <w:pPr>
              <w:spacing w:after="0" w:line="240" w:lineRule="atLeast"/>
              <w:jc w:val="both"/>
              <w:rPr>
                <w:rFonts w:ascii="Arial" w:eastAsia="Times New Roman" w:hAnsi="Arial" w:cs="Arial"/>
                <w:color w:val="666666"/>
                <w:sz w:val="18"/>
                <w:szCs w:val="18"/>
                <w:lang w:eastAsia="tr-TR"/>
              </w:rPr>
            </w:pPr>
            <w:r w:rsidRPr="003747CE">
              <w:rPr>
                <w:rFonts w:ascii="Arial" w:eastAsia="Times New Roman" w:hAnsi="Arial" w:cs="Arial"/>
                <w:color w:val="666666"/>
                <w:sz w:val="18"/>
                <w:szCs w:val="18"/>
                <w:lang w:eastAsia="tr-TR"/>
              </w:rPr>
              <w:t> </w:t>
            </w:r>
          </w:p>
          <w:p w:rsidR="003747CE" w:rsidRPr="003747CE" w:rsidRDefault="003747CE" w:rsidP="003747CE">
            <w:pPr>
              <w:spacing w:after="0" w:line="240" w:lineRule="atLeast"/>
              <w:jc w:val="both"/>
              <w:rPr>
                <w:rFonts w:ascii="Arial" w:eastAsia="Times New Roman" w:hAnsi="Arial" w:cs="Arial"/>
                <w:color w:val="666666"/>
                <w:sz w:val="18"/>
                <w:szCs w:val="18"/>
                <w:lang w:eastAsia="tr-TR"/>
              </w:rPr>
            </w:pPr>
            <w:r w:rsidRPr="003747CE">
              <w:rPr>
                <w:rFonts w:ascii="Arial" w:eastAsia="Times New Roman" w:hAnsi="Arial" w:cs="Arial"/>
                <w:color w:val="666666"/>
                <w:sz w:val="18"/>
                <w:szCs w:val="18"/>
                <w:lang w:eastAsia="tr-TR"/>
              </w:rPr>
              <w:t xml:space="preserve">Türkiye İstatistik Kurumu (TÜİK) çeşitli kurum ve kuruluşların düzenlemiş oldukları yaygın eğitim faaliyetlerine ilişkin verileri derleyerek  periyodik olarak yayınlanan TÜİK eğitim istatistikleri kapsamına almak amacıyla 2009 yılında “Yaygın Eğitim Faaliyetleri </w:t>
            </w:r>
            <w:proofErr w:type="spellStart"/>
            <w:r w:rsidRPr="003747CE">
              <w:rPr>
                <w:rFonts w:ascii="Arial" w:eastAsia="Times New Roman" w:hAnsi="Arial" w:cs="Arial"/>
                <w:color w:val="666666"/>
                <w:sz w:val="18"/>
                <w:szCs w:val="18"/>
                <w:lang w:eastAsia="tr-TR"/>
              </w:rPr>
              <w:t>Araştırması”nı</w:t>
            </w:r>
            <w:proofErr w:type="spellEnd"/>
            <w:r w:rsidRPr="003747CE">
              <w:rPr>
                <w:rFonts w:ascii="Arial" w:eastAsia="Times New Roman" w:hAnsi="Arial" w:cs="Arial"/>
                <w:color w:val="666666"/>
                <w:sz w:val="18"/>
                <w:szCs w:val="18"/>
                <w:lang w:eastAsia="tr-TR"/>
              </w:rPr>
              <w:t xml:space="preserve">  bir soru </w:t>
            </w:r>
            <w:proofErr w:type="gramStart"/>
            <w:r w:rsidRPr="003747CE">
              <w:rPr>
                <w:rFonts w:ascii="Arial" w:eastAsia="Times New Roman" w:hAnsi="Arial" w:cs="Arial"/>
                <w:color w:val="666666"/>
                <w:sz w:val="18"/>
                <w:szCs w:val="18"/>
                <w:lang w:eastAsia="tr-TR"/>
              </w:rPr>
              <w:t>kağıdı</w:t>
            </w:r>
            <w:proofErr w:type="gramEnd"/>
            <w:r w:rsidRPr="003747CE">
              <w:rPr>
                <w:rFonts w:ascii="Arial" w:eastAsia="Times New Roman" w:hAnsi="Arial" w:cs="Arial"/>
                <w:color w:val="666666"/>
                <w:sz w:val="18"/>
                <w:szCs w:val="18"/>
                <w:lang w:eastAsia="tr-TR"/>
              </w:rPr>
              <w:t xml:space="preserve"> aracılığıyla yapmayı planlamıştır.</w:t>
            </w:r>
          </w:p>
          <w:p w:rsidR="003747CE" w:rsidRPr="003747CE" w:rsidRDefault="003747CE" w:rsidP="003747CE">
            <w:pPr>
              <w:spacing w:after="0" w:line="240" w:lineRule="atLeast"/>
              <w:jc w:val="both"/>
              <w:rPr>
                <w:rFonts w:ascii="Arial" w:eastAsia="Times New Roman" w:hAnsi="Arial" w:cs="Arial"/>
                <w:color w:val="666666"/>
                <w:sz w:val="18"/>
                <w:szCs w:val="18"/>
                <w:lang w:eastAsia="tr-TR"/>
              </w:rPr>
            </w:pPr>
            <w:r w:rsidRPr="003747CE">
              <w:rPr>
                <w:rFonts w:ascii="Arial" w:eastAsia="Times New Roman" w:hAnsi="Arial" w:cs="Arial"/>
                <w:color w:val="666666"/>
                <w:sz w:val="18"/>
                <w:szCs w:val="18"/>
                <w:lang w:eastAsia="tr-TR"/>
              </w:rPr>
              <w:t> </w:t>
            </w:r>
          </w:p>
          <w:p w:rsidR="003747CE" w:rsidRPr="003747CE" w:rsidRDefault="003747CE" w:rsidP="003747CE">
            <w:pPr>
              <w:spacing w:after="0" w:line="240" w:lineRule="atLeast"/>
              <w:jc w:val="both"/>
              <w:rPr>
                <w:rFonts w:ascii="Arial" w:eastAsia="Times New Roman" w:hAnsi="Arial" w:cs="Arial"/>
                <w:color w:val="666666"/>
                <w:sz w:val="18"/>
                <w:szCs w:val="18"/>
                <w:lang w:eastAsia="tr-TR"/>
              </w:rPr>
            </w:pPr>
            <w:r w:rsidRPr="003747CE">
              <w:rPr>
                <w:rFonts w:ascii="Arial" w:eastAsia="Times New Roman" w:hAnsi="Arial" w:cs="Arial"/>
                <w:color w:val="666666"/>
                <w:sz w:val="18"/>
                <w:szCs w:val="18"/>
                <w:lang w:eastAsia="tr-TR"/>
              </w:rPr>
              <w:t xml:space="preserve">“2009 Yılı Yaygın Eğitim Faaliyetleri Araştırması” soru </w:t>
            </w:r>
            <w:proofErr w:type="gramStart"/>
            <w:r w:rsidRPr="003747CE">
              <w:rPr>
                <w:rFonts w:ascii="Arial" w:eastAsia="Times New Roman" w:hAnsi="Arial" w:cs="Arial"/>
                <w:color w:val="666666"/>
                <w:sz w:val="18"/>
                <w:szCs w:val="18"/>
                <w:lang w:eastAsia="tr-TR"/>
              </w:rPr>
              <w:t>kağıdı</w:t>
            </w:r>
            <w:proofErr w:type="gramEnd"/>
            <w:r w:rsidRPr="003747CE">
              <w:rPr>
                <w:rFonts w:ascii="Arial" w:eastAsia="Times New Roman" w:hAnsi="Arial" w:cs="Arial"/>
                <w:color w:val="666666"/>
                <w:sz w:val="18"/>
                <w:szCs w:val="18"/>
                <w:lang w:eastAsia="tr-TR"/>
              </w:rPr>
              <w:t xml:space="preserve"> ile yaygın eğitim faaliyetinin adı, başlama/ bitiş tarihi, süresi, yaygın eğitime başvuran/ katılan/ bitiren kursiyer sayıları </w:t>
            </w:r>
            <w:proofErr w:type="spellStart"/>
            <w:r w:rsidRPr="003747CE">
              <w:rPr>
                <w:rFonts w:ascii="Arial" w:eastAsia="Times New Roman" w:hAnsi="Arial" w:cs="Arial"/>
                <w:color w:val="666666"/>
                <w:sz w:val="18"/>
                <w:szCs w:val="18"/>
                <w:lang w:eastAsia="tr-TR"/>
              </w:rPr>
              <w:t>v.b</w:t>
            </w:r>
            <w:proofErr w:type="spellEnd"/>
            <w:r w:rsidRPr="003747CE">
              <w:rPr>
                <w:rFonts w:ascii="Arial" w:eastAsia="Times New Roman" w:hAnsi="Arial" w:cs="Arial"/>
                <w:color w:val="666666"/>
                <w:sz w:val="18"/>
                <w:szCs w:val="18"/>
                <w:lang w:eastAsia="tr-TR"/>
              </w:rPr>
              <w:t xml:space="preserve"> verilerin elde edilmesinin amaçlandığı ilgi genelge ile bildirilmektedir.</w:t>
            </w:r>
          </w:p>
          <w:p w:rsidR="003747CE" w:rsidRPr="003747CE" w:rsidRDefault="003747CE" w:rsidP="003747CE">
            <w:pPr>
              <w:spacing w:after="0" w:line="240" w:lineRule="atLeast"/>
              <w:jc w:val="both"/>
              <w:rPr>
                <w:rFonts w:ascii="Arial" w:eastAsia="Times New Roman" w:hAnsi="Arial" w:cs="Arial"/>
                <w:color w:val="666666"/>
                <w:sz w:val="18"/>
                <w:szCs w:val="18"/>
                <w:lang w:eastAsia="tr-TR"/>
              </w:rPr>
            </w:pPr>
            <w:r w:rsidRPr="003747CE">
              <w:rPr>
                <w:rFonts w:ascii="Arial" w:eastAsia="Times New Roman" w:hAnsi="Arial" w:cs="Arial"/>
                <w:color w:val="666666"/>
                <w:sz w:val="18"/>
                <w:szCs w:val="18"/>
                <w:lang w:eastAsia="tr-TR"/>
              </w:rPr>
              <w:t> </w:t>
            </w:r>
          </w:p>
          <w:p w:rsidR="003747CE" w:rsidRPr="003747CE" w:rsidRDefault="003747CE" w:rsidP="003747CE">
            <w:pPr>
              <w:spacing w:after="0" w:line="240" w:lineRule="atLeast"/>
              <w:jc w:val="both"/>
              <w:rPr>
                <w:rFonts w:ascii="Arial" w:eastAsia="Times New Roman" w:hAnsi="Arial" w:cs="Arial"/>
                <w:color w:val="666666"/>
                <w:sz w:val="18"/>
                <w:szCs w:val="18"/>
                <w:lang w:eastAsia="tr-TR"/>
              </w:rPr>
            </w:pPr>
            <w:r w:rsidRPr="003747CE">
              <w:rPr>
                <w:rFonts w:ascii="Arial" w:eastAsia="Times New Roman" w:hAnsi="Arial" w:cs="Arial"/>
                <w:color w:val="666666"/>
                <w:sz w:val="18"/>
                <w:szCs w:val="18"/>
                <w:lang w:eastAsia="tr-TR"/>
              </w:rPr>
              <w:t xml:space="preserve">Söz konusu araştırmada; yaygın eğitim faaliyeti olarak Odalarımızın kendilerinin düzenlediği /eğitim verdiği ya da organize ettiği faaliyetler dikkate alınacak, başka kurumlar tarafından düzenlenen ve katılım sağlanan eğitimler soru </w:t>
            </w:r>
            <w:proofErr w:type="gramStart"/>
            <w:r w:rsidRPr="003747CE">
              <w:rPr>
                <w:rFonts w:ascii="Arial" w:eastAsia="Times New Roman" w:hAnsi="Arial" w:cs="Arial"/>
                <w:color w:val="666666"/>
                <w:sz w:val="18"/>
                <w:szCs w:val="18"/>
                <w:lang w:eastAsia="tr-TR"/>
              </w:rPr>
              <w:t>kağıdında</w:t>
            </w:r>
            <w:proofErr w:type="gramEnd"/>
            <w:r w:rsidRPr="003747CE">
              <w:rPr>
                <w:rFonts w:ascii="Arial" w:eastAsia="Times New Roman" w:hAnsi="Arial" w:cs="Arial"/>
                <w:color w:val="666666"/>
                <w:sz w:val="18"/>
                <w:szCs w:val="18"/>
                <w:lang w:eastAsia="tr-TR"/>
              </w:rPr>
              <w:t xml:space="preserve"> belirtilmeyecektir.</w:t>
            </w:r>
          </w:p>
          <w:p w:rsidR="003747CE" w:rsidRPr="003747CE" w:rsidRDefault="003747CE" w:rsidP="003747CE">
            <w:pPr>
              <w:spacing w:before="100" w:beforeAutospacing="1" w:after="100" w:afterAutospacing="1" w:line="240" w:lineRule="atLeast"/>
              <w:rPr>
                <w:rFonts w:ascii="Arial" w:eastAsia="Times New Roman" w:hAnsi="Arial" w:cs="Arial"/>
                <w:color w:val="666666"/>
                <w:sz w:val="18"/>
                <w:szCs w:val="18"/>
                <w:lang w:eastAsia="tr-TR"/>
              </w:rPr>
            </w:pPr>
            <w:r w:rsidRPr="003747CE">
              <w:rPr>
                <w:rFonts w:ascii="Arial" w:eastAsia="Times New Roman" w:hAnsi="Arial" w:cs="Arial"/>
                <w:color w:val="666666"/>
                <w:sz w:val="18"/>
                <w:szCs w:val="18"/>
                <w:lang w:eastAsia="tr-TR"/>
              </w:rPr>
              <w:t xml:space="preserve">“Yaygın Eğitim Faaliyetleri Araştırması 2009 Yılı Soru </w:t>
            </w:r>
            <w:proofErr w:type="gramStart"/>
            <w:r w:rsidRPr="003747CE">
              <w:rPr>
                <w:rFonts w:ascii="Arial" w:eastAsia="Times New Roman" w:hAnsi="Arial" w:cs="Arial"/>
                <w:color w:val="666666"/>
                <w:sz w:val="18"/>
                <w:szCs w:val="18"/>
                <w:lang w:eastAsia="tr-TR"/>
              </w:rPr>
              <w:t>Kağıdı</w:t>
            </w:r>
            <w:proofErr w:type="gramEnd"/>
            <w:r w:rsidRPr="003747CE">
              <w:rPr>
                <w:rFonts w:ascii="Arial" w:eastAsia="Times New Roman" w:hAnsi="Arial" w:cs="Arial"/>
                <w:color w:val="666666"/>
                <w:sz w:val="18"/>
                <w:szCs w:val="18"/>
                <w:lang w:eastAsia="tr-TR"/>
              </w:rPr>
              <w:t>”  elektronik ortamda </w:t>
            </w:r>
            <w:hyperlink r:id="rId9" w:history="1">
              <w:r w:rsidRPr="003747CE">
                <w:rPr>
                  <w:rFonts w:ascii="Arial" w:eastAsia="Times New Roman" w:hAnsi="Arial" w:cs="Arial"/>
                  <w:color w:val="0066FF"/>
                  <w:sz w:val="18"/>
                  <w:szCs w:val="18"/>
                  <w:lang w:eastAsia="tr-TR"/>
                </w:rPr>
                <w:t>www.tesk.org.tr</w:t>
              </w:r>
            </w:hyperlink>
            <w:r w:rsidRPr="003747CE">
              <w:rPr>
                <w:rFonts w:ascii="Arial" w:eastAsia="Times New Roman" w:hAnsi="Arial" w:cs="Arial"/>
                <w:color w:val="666666"/>
                <w:sz w:val="18"/>
                <w:szCs w:val="18"/>
                <w:lang w:eastAsia="tr-TR"/>
              </w:rPr>
              <w:t>  web adresinde yayınlanmakta olup, soru kağıdının açıklamalar bölümünün incelenip kurum bilgileri ve yaygın eğitim faaliyetleri bölümlerinin doldurularak kağıda basılmış şeklinin Konfederasyonumuza iletilmek üzere en geç 17 Şubat 2010 tarihine kadar Birliğimize gönderilmesi hususunda gereğini bilgilerinize rica ederiz.</w:t>
            </w:r>
          </w:p>
          <w:p w:rsidR="003747CE" w:rsidRPr="003747CE" w:rsidRDefault="003747CE" w:rsidP="003747CE">
            <w:pPr>
              <w:spacing w:before="100" w:beforeAutospacing="1" w:after="100" w:afterAutospacing="1" w:line="240" w:lineRule="atLeast"/>
              <w:rPr>
                <w:rFonts w:ascii="Arial" w:eastAsia="Times New Roman" w:hAnsi="Arial" w:cs="Arial"/>
                <w:color w:val="666666"/>
                <w:sz w:val="18"/>
                <w:szCs w:val="18"/>
                <w:lang w:eastAsia="tr-TR"/>
              </w:rPr>
            </w:pPr>
            <w:r w:rsidRPr="003747CE">
              <w:rPr>
                <w:rFonts w:ascii="Arial" w:eastAsia="Times New Roman" w:hAnsi="Arial" w:cs="Arial"/>
                <w:color w:val="666666"/>
                <w:sz w:val="18"/>
                <w:szCs w:val="18"/>
                <w:lang w:eastAsia="tr-TR"/>
              </w:rPr>
              <w:t>Özcan KILKIŞ                                                                                        Hilmi KURTOĞLU</w:t>
            </w:r>
          </w:p>
          <w:p w:rsidR="003747CE" w:rsidRPr="003747CE" w:rsidRDefault="003747CE" w:rsidP="003747CE">
            <w:pPr>
              <w:spacing w:before="100" w:beforeAutospacing="1" w:after="100" w:afterAutospacing="1" w:line="240" w:lineRule="atLeast"/>
              <w:rPr>
                <w:rFonts w:ascii="Arial" w:eastAsia="Times New Roman" w:hAnsi="Arial" w:cs="Arial"/>
                <w:color w:val="666666"/>
                <w:sz w:val="18"/>
                <w:szCs w:val="18"/>
                <w:lang w:eastAsia="tr-TR"/>
              </w:rPr>
            </w:pPr>
            <w:r w:rsidRPr="003747CE">
              <w:rPr>
                <w:rFonts w:ascii="Arial" w:eastAsia="Times New Roman" w:hAnsi="Arial" w:cs="Arial"/>
                <w:color w:val="666666"/>
                <w:sz w:val="18"/>
                <w:szCs w:val="18"/>
                <w:lang w:eastAsia="tr-TR"/>
              </w:rPr>
              <w:t>Genel Sekreter                                                                                          Başkan Vekili </w:t>
            </w:r>
          </w:p>
          <w:p w:rsidR="003747CE" w:rsidRPr="003747CE" w:rsidRDefault="003747CE" w:rsidP="003747CE">
            <w:pPr>
              <w:spacing w:after="0" w:line="240" w:lineRule="atLeast"/>
              <w:rPr>
                <w:rFonts w:ascii="Arial" w:eastAsia="Times New Roman" w:hAnsi="Arial" w:cs="Arial"/>
                <w:color w:val="666666"/>
                <w:sz w:val="18"/>
                <w:szCs w:val="18"/>
                <w:lang w:eastAsia="tr-TR"/>
              </w:rPr>
            </w:pPr>
            <w:hyperlink r:id="rId10" w:history="1">
              <w:r w:rsidRPr="003747CE">
                <w:rPr>
                  <w:rFonts w:ascii="Arial" w:eastAsia="Times New Roman" w:hAnsi="Arial" w:cs="Arial"/>
                  <w:color w:val="0066FF"/>
                  <w:sz w:val="18"/>
                  <w:szCs w:val="18"/>
                  <w:lang w:eastAsia="tr-TR"/>
                </w:rPr>
                <w:t xml:space="preserve">009 </w:t>
              </w:r>
              <w:proofErr w:type="spellStart"/>
              <w:r w:rsidRPr="003747CE">
                <w:rPr>
                  <w:rFonts w:ascii="Arial" w:eastAsia="Times New Roman" w:hAnsi="Arial" w:cs="Arial"/>
                  <w:color w:val="0066FF"/>
                  <w:sz w:val="18"/>
                  <w:szCs w:val="18"/>
                  <w:lang w:eastAsia="tr-TR"/>
                </w:rPr>
                <w:t>Nolu</w:t>
              </w:r>
              <w:proofErr w:type="spellEnd"/>
              <w:r w:rsidRPr="003747CE">
                <w:rPr>
                  <w:rFonts w:ascii="Arial" w:eastAsia="Times New Roman" w:hAnsi="Arial" w:cs="Arial"/>
                  <w:color w:val="0066FF"/>
                  <w:sz w:val="18"/>
                  <w:szCs w:val="18"/>
                  <w:lang w:eastAsia="tr-TR"/>
                </w:rPr>
                <w:t xml:space="preserve"> Genelge (TÜİK Yaygın Eğitim Faaliyetleri Araştırması)</w:t>
              </w:r>
            </w:hyperlink>
          </w:p>
        </w:tc>
      </w:tr>
    </w:tbl>
    <w:p w:rsidR="00B060D4" w:rsidRDefault="003747CE">
      <w:r w:rsidRPr="003747CE">
        <w:rPr>
          <w:rFonts w:ascii="Arial" w:eastAsia="Times New Roman" w:hAnsi="Arial" w:cs="Arial"/>
          <w:color w:val="666666"/>
          <w:sz w:val="18"/>
          <w:szCs w:val="18"/>
          <w:shd w:val="clear" w:color="auto" w:fill="FFFFFF"/>
          <w:lang w:eastAsia="tr-TR"/>
        </w:rPr>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7CE"/>
    <w:rsid w:val="003747CE"/>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747CE"/>
    <w:rPr>
      <w:color w:val="0000FF"/>
      <w:u w:val="single"/>
    </w:rPr>
  </w:style>
  <w:style w:type="character" w:customStyle="1" w:styleId="apple-converted-space">
    <w:name w:val="apple-converted-space"/>
    <w:basedOn w:val="VarsaylanParagrafYazTipi"/>
    <w:rsid w:val="003747CE"/>
  </w:style>
  <w:style w:type="paragraph" w:styleId="NormalWeb">
    <w:name w:val="Normal (Web)"/>
    <w:basedOn w:val="Normal"/>
    <w:uiPriority w:val="99"/>
    <w:semiHidden/>
    <w:unhideWhenUsed/>
    <w:rsid w:val="003747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3747CE"/>
  </w:style>
  <w:style w:type="paragraph" w:styleId="BalonMetni">
    <w:name w:val="Balloon Text"/>
    <w:basedOn w:val="Normal"/>
    <w:link w:val="BalonMetniChar"/>
    <w:uiPriority w:val="99"/>
    <w:semiHidden/>
    <w:unhideWhenUsed/>
    <w:rsid w:val="003747C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747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747CE"/>
    <w:rPr>
      <w:color w:val="0000FF"/>
      <w:u w:val="single"/>
    </w:rPr>
  </w:style>
  <w:style w:type="character" w:customStyle="1" w:styleId="apple-converted-space">
    <w:name w:val="apple-converted-space"/>
    <w:basedOn w:val="VarsaylanParagrafYazTipi"/>
    <w:rsid w:val="003747CE"/>
  </w:style>
  <w:style w:type="paragraph" w:styleId="NormalWeb">
    <w:name w:val="Normal (Web)"/>
    <w:basedOn w:val="Normal"/>
    <w:uiPriority w:val="99"/>
    <w:semiHidden/>
    <w:unhideWhenUsed/>
    <w:rsid w:val="003747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3747CE"/>
  </w:style>
  <w:style w:type="paragraph" w:styleId="BalonMetni">
    <w:name w:val="Balloon Text"/>
    <w:basedOn w:val="Normal"/>
    <w:link w:val="BalonMetniChar"/>
    <w:uiPriority w:val="99"/>
    <w:semiHidden/>
    <w:unhideWhenUsed/>
    <w:rsid w:val="003747C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747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2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1029&amp;itemid=16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iesob.org.tr/index2.php?option=com_content&amp;task=view&amp;id=1029&amp;pop=1&amp;page=0&amp;Itemid=161" TargetMode="External"/><Relationship Id="rId10" Type="http://schemas.openxmlformats.org/officeDocument/2006/relationships/hyperlink" Target="http://www.tesk.org.tr/tr/mevzuat/10/10009.html" TargetMode="External"/><Relationship Id="rId4" Type="http://schemas.openxmlformats.org/officeDocument/2006/relationships/webSettings" Target="webSettings.xml"/><Relationship Id="rId9" Type="http://schemas.openxmlformats.org/officeDocument/2006/relationships/hyperlink" Target="http://www.tesk.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2013-09-05T06:07:00Z</dcterms:created>
  <dcterms:modified xsi:type="dcterms:W3CDTF">2013-09-05T06:07:00Z</dcterms:modified>
</cp:coreProperties>
</file>